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3F" w:rsidRPr="007A795E" w:rsidRDefault="003B433F" w:rsidP="003B433F">
      <w:pPr>
        <w:pStyle w:val="Nadpis1"/>
        <w:pBdr>
          <w:bottom w:val="single" w:sz="8" w:space="0" w:color="1C3E7E"/>
        </w:pBdr>
        <w:shd w:val="clear" w:color="auto" w:fill="FFFFFF"/>
        <w:spacing w:before="0"/>
        <w:textAlignment w:val="baseline"/>
        <w:rPr>
          <w:rFonts w:ascii="Franklin Gothic Book" w:hAnsi="Franklin Gothic Book" w:cs="Arial"/>
          <w:b/>
          <w:color w:val="auto"/>
          <w:sz w:val="22"/>
          <w:szCs w:val="22"/>
        </w:rPr>
      </w:pPr>
      <w:r w:rsidRPr="003B433F">
        <w:rPr>
          <w:rFonts w:ascii="Franklin Gothic Book" w:hAnsi="Franklin Gothic Book" w:cs="Arial"/>
          <w:color w:val="404040"/>
          <w:sz w:val="22"/>
          <w:szCs w:val="22"/>
        </w:rPr>
        <w:br/>
      </w:r>
      <w:r w:rsidRPr="007A795E">
        <w:rPr>
          <w:rFonts w:ascii="Franklin Gothic Book" w:hAnsi="Franklin Gothic Book" w:cs="Arial"/>
          <w:b/>
          <w:color w:val="auto"/>
          <w:sz w:val="22"/>
          <w:szCs w:val="22"/>
          <w:bdr w:val="none" w:sz="0" w:space="0" w:color="auto" w:frame="1"/>
        </w:rPr>
        <w:t>Přijímací řízení 201</w:t>
      </w:r>
      <w:r w:rsidR="00BF7D1D" w:rsidRPr="007A795E">
        <w:rPr>
          <w:rFonts w:ascii="Franklin Gothic Book" w:hAnsi="Franklin Gothic Book" w:cs="Arial"/>
          <w:b/>
          <w:color w:val="auto"/>
          <w:sz w:val="22"/>
          <w:szCs w:val="22"/>
          <w:bdr w:val="none" w:sz="0" w:space="0" w:color="auto" w:frame="1"/>
        </w:rPr>
        <w:t>9</w:t>
      </w:r>
      <w:r w:rsidRPr="007A795E">
        <w:rPr>
          <w:rFonts w:ascii="Franklin Gothic Book" w:hAnsi="Franklin Gothic Book" w:cs="Arial"/>
          <w:b/>
          <w:color w:val="auto"/>
          <w:sz w:val="22"/>
          <w:szCs w:val="22"/>
          <w:bdr w:val="none" w:sz="0" w:space="0" w:color="auto" w:frame="1"/>
        </w:rPr>
        <w:t>/</w:t>
      </w:r>
      <w:r w:rsidR="00BF7D1D" w:rsidRPr="007A795E">
        <w:rPr>
          <w:rFonts w:ascii="Franklin Gothic Book" w:hAnsi="Franklin Gothic Book" w:cs="Arial"/>
          <w:b/>
          <w:color w:val="auto"/>
          <w:sz w:val="22"/>
          <w:szCs w:val="22"/>
        </w:rPr>
        <w:t>20</w:t>
      </w:r>
    </w:p>
    <w:p w:rsidR="003B433F" w:rsidRPr="003B433F" w:rsidRDefault="003B433F" w:rsidP="003B433F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 w:cs="Arial"/>
          <w:color w:val="404040"/>
          <w:sz w:val="22"/>
          <w:szCs w:val="22"/>
        </w:rPr>
      </w:pPr>
    </w:p>
    <w:p w:rsidR="001674C9" w:rsidRDefault="001674C9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04040"/>
          <w:sz w:val="30"/>
          <w:szCs w:val="30"/>
        </w:rPr>
      </w:pPr>
      <w:r>
        <w:rPr>
          <w:rFonts w:ascii="Arial" w:hAnsi="Arial" w:cs="Arial"/>
          <w:color w:val="404040"/>
          <w:sz w:val="30"/>
          <w:szCs w:val="30"/>
        </w:rPr>
        <w:t>A) Základní informace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Na střední školu se může hlásit každý </w:t>
      </w: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absolvent ZŠ</w:t>
      </w:r>
      <w:r>
        <w:rPr>
          <w:rFonts w:ascii="Arial" w:hAnsi="Arial" w:cs="Arial"/>
          <w:color w:val="404040"/>
          <w:sz w:val="21"/>
          <w:szCs w:val="21"/>
        </w:rPr>
        <w:t> s ukončeným základním vzděláním, ukončenou povinnou školní docházkou.</w:t>
      </w:r>
      <w:r>
        <w:rPr>
          <w:rFonts w:ascii="Arial" w:hAnsi="Arial" w:cs="Arial"/>
          <w:color w:val="404040"/>
          <w:sz w:val="21"/>
          <w:szCs w:val="21"/>
        </w:rPr>
        <w:br/>
        <w:t xml:space="preserve">Základní vzdělání získá žák, který splnil povinnou školní docházku úspěšným ukončením 9. ročníku na ZŠ. Povinnou školní docházku splnil žák, který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navštěvoval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ZŠ 9 let.</w:t>
      </w:r>
      <w:r>
        <w:rPr>
          <w:rFonts w:ascii="Arial" w:hAnsi="Arial" w:cs="Arial"/>
          <w:color w:val="404040"/>
          <w:sz w:val="21"/>
          <w:szCs w:val="21"/>
        </w:rPr>
        <w:br/>
        <w:t xml:space="preserve">Na nástavbové studium se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může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hlásit každý </w:t>
      </w: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absolvent učebního oboru</w:t>
      </w:r>
      <w:r>
        <w:rPr>
          <w:rFonts w:ascii="Arial" w:hAnsi="Arial" w:cs="Arial"/>
          <w:color w:val="404040"/>
          <w:sz w:val="21"/>
          <w:szCs w:val="21"/>
        </w:rPr>
        <w:t> ukončeného závěrečnou zkouškou.</w:t>
      </w:r>
      <w:r>
        <w:rPr>
          <w:rFonts w:ascii="Arial" w:hAnsi="Arial" w:cs="Arial"/>
          <w:color w:val="404040"/>
          <w:sz w:val="21"/>
          <w:szCs w:val="21"/>
        </w:rPr>
        <w:br/>
      </w: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Povinné</w:t>
      </w:r>
      <w:r>
        <w:rPr>
          <w:rFonts w:ascii="Arial" w:hAnsi="Arial" w:cs="Arial"/>
          <w:color w:val="404040"/>
          <w:sz w:val="21"/>
          <w:szCs w:val="21"/>
        </w:rPr>
        <w:t> potvrzení od lékaře na přihlášce </w:t>
      </w: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je </w:t>
      </w:r>
      <w:r>
        <w:rPr>
          <w:rFonts w:ascii="Arial" w:hAnsi="Arial" w:cs="Arial"/>
          <w:color w:val="404040"/>
          <w:sz w:val="21"/>
          <w:szCs w:val="21"/>
        </w:rPr>
        <w:t xml:space="preserve">pro všechny učební obory a učební obor s maturitou </w:t>
      </w:r>
      <w:proofErr w:type="spellStart"/>
      <w:r>
        <w:rPr>
          <w:rFonts w:ascii="Arial" w:hAnsi="Arial" w:cs="Arial"/>
          <w:color w:val="404040"/>
          <w:sz w:val="21"/>
          <w:szCs w:val="21"/>
        </w:rPr>
        <w:t>Autotronik</w:t>
      </w:r>
      <w:proofErr w:type="spellEnd"/>
      <w:r>
        <w:rPr>
          <w:rFonts w:ascii="Arial" w:hAnsi="Arial" w:cs="Arial"/>
          <w:color w:val="404040"/>
          <w:sz w:val="21"/>
          <w:szCs w:val="21"/>
        </w:rPr>
        <w:t>.</w:t>
      </w:r>
      <w:r>
        <w:rPr>
          <w:rFonts w:ascii="Arial" w:hAnsi="Arial" w:cs="Arial"/>
          <w:color w:val="404040"/>
          <w:sz w:val="21"/>
          <w:szCs w:val="21"/>
        </w:rPr>
        <w:br/>
        <w:t>Pro ostatní studijní obory není nutné.</w:t>
      </w:r>
      <w:r>
        <w:rPr>
          <w:rFonts w:ascii="Arial" w:hAnsi="Arial" w:cs="Arial"/>
          <w:color w:val="404040"/>
          <w:sz w:val="21"/>
          <w:szCs w:val="21"/>
        </w:rPr>
        <w:br/>
        <w:t>Přijím</w:t>
      </w:r>
      <w:r w:rsidR="000C1D9C">
        <w:rPr>
          <w:rFonts w:ascii="Arial" w:hAnsi="Arial" w:cs="Arial"/>
          <w:color w:val="404040"/>
          <w:sz w:val="21"/>
          <w:szCs w:val="21"/>
        </w:rPr>
        <w:t>á</w:t>
      </w:r>
      <w:r>
        <w:rPr>
          <w:rFonts w:ascii="Arial" w:hAnsi="Arial" w:cs="Arial"/>
          <w:color w:val="404040"/>
          <w:sz w:val="21"/>
          <w:szCs w:val="21"/>
        </w:rPr>
        <w:t>ní zahraničních studentů – více informací </w:t>
      </w:r>
      <w:hyperlink r:id="rId5" w:history="1">
        <w:r>
          <w:rPr>
            <w:rStyle w:val="Hypertextovodkaz"/>
            <w:rFonts w:ascii="inherit" w:hAnsi="inherit" w:cs="Arial"/>
            <w:b/>
            <w:bCs/>
            <w:color w:val="1C3E7E"/>
            <w:sz w:val="21"/>
            <w:szCs w:val="21"/>
            <w:u w:val="none"/>
            <w:bdr w:val="none" w:sz="0" w:space="0" w:color="auto" w:frame="1"/>
          </w:rPr>
          <w:t>ZDE</w:t>
        </w:r>
      </w:hyperlink>
      <w:r>
        <w:rPr>
          <w:rFonts w:ascii="Arial" w:hAnsi="Arial" w:cs="Arial"/>
          <w:color w:val="404040"/>
          <w:sz w:val="21"/>
          <w:szCs w:val="21"/>
        </w:rPr>
        <w:t>.</w:t>
      </w:r>
    </w:p>
    <w:p w:rsidR="00634E71" w:rsidRDefault="00634E71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1674C9" w:rsidRDefault="001674C9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404040"/>
          <w:sz w:val="30"/>
          <w:szCs w:val="30"/>
        </w:rPr>
      </w:pPr>
      <w:r>
        <w:rPr>
          <w:rFonts w:ascii="Arial" w:hAnsi="Arial" w:cs="Arial"/>
          <w:color w:val="404040"/>
          <w:sz w:val="30"/>
          <w:szCs w:val="30"/>
        </w:rPr>
        <w:t>B) Přihlášky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Poznámka: Pozor, přihlášky jsou dvoustranné!</w:t>
      </w:r>
    </w:p>
    <w:tbl>
      <w:tblPr>
        <w:tblW w:w="12000" w:type="dxa"/>
        <w:tblCellSpacing w:w="15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9554"/>
      </w:tblGrid>
      <w:tr w:rsidR="001674C9" w:rsidTr="001674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74C9" w:rsidRDefault="001674C9" w:rsidP="007A795E">
            <w:pPr>
              <w:rPr>
                <w:rFonts w:ascii="inherit" w:hAnsi="inherit" w:cs="Arial"/>
                <w:b/>
                <w:bCs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404040"/>
                <w:sz w:val="21"/>
                <w:szCs w:val="21"/>
              </w:rPr>
              <w:t>Př</w:t>
            </w:r>
            <w:r w:rsidR="007A795E">
              <w:rPr>
                <w:rFonts w:ascii="inherit" w:hAnsi="inherit" w:cs="Arial"/>
                <w:b/>
                <w:bCs/>
                <w:color w:val="404040"/>
                <w:sz w:val="21"/>
                <w:szCs w:val="21"/>
              </w:rPr>
              <w:t>i</w:t>
            </w:r>
            <w:r>
              <w:rPr>
                <w:rFonts w:ascii="inherit" w:hAnsi="inherit" w:cs="Arial"/>
                <w:b/>
                <w:bCs/>
                <w:color w:val="404040"/>
                <w:sz w:val="21"/>
                <w:szCs w:val="21"/>
              </w:rPr>
              <w:t>hláška: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b/>
                <w:bCs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404040"/>
                <w:sz w:val="21"/>
                <w:szCs w:val="21"/>
              </w:rPr>
              <w:t>Pro obory:</w:t>
            </w:r>
          </w:p>
        </w:tc>
      </w:tr>
      <w:tr w:rsidR="001674C9" w:rsidTr="001674C9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434BE0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hyperlink r:id="rId6" w:tgtFrame="_new" w:history="1">
              <w:r w:rsidR="001674C9">
                <w:rPr>
                  <w:rStyle w:val="Hypertextovodkaz"/>
                  <w:rFonts w:ascii="inherit" w:hAnsi="inherit" w:cs="Arial"/>
                  <w:b/>
                  <w:bCs/>
                  <w:color w:val="1C3E7E"/>
                  <w:sz w:val="21"/>
                  <w:szCs w:val="21"/>
                  <w:u w:val="none"/>
                  <w:bdr w:val="none" w:sz="0" w:space="0" w:color="auto" w:frame="1"/>
                </w:rPr>
                <w:t>Přihláška SŠ 2018/2019 denní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 xml:space="preserve">Informační technologie, Multimediální komunikace, </w:t>
            </w:r>
            <w:proofErr w:type="spellStart"/>
            <w:r>
              <w:rPr>
                <w:rFonts w:ascii="inherit" w:hAnsi="inherit" w:cs="Arial"/>
                <w:color w:val="404040"/>
                <w:sz w:val="21"/>
                <w:szCs w:val="21"/>
              </w:rPr>
              <w:t>Autotronik</w:t>
            </w:r>
            <w:proofErr w:type="spellEnd"/>
            <w:r>
              <w:rPr>
                <w:rFonts w:ascii="inherit" w:hAnsi="inherit" w:cs="Arial"/>
                <w:color w:val="404040"/>
                <w:sz w:val="21"/>
                <w:szCs w:val="21"/>
              </w:rPr>
              <w:t>, Mechanik opravář motorových vozidel, Mechanik jednostopých vozidel, Autolakýrník a Karosář</w:t>
            </w:r>
          </w:p>
        </w:tc>
      </w:tr>
      <w:tr w:rsidR="001674C9" w:rsidTr="001674C9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434BE0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hyperlink r:id="rId7" w:tgtFrame="_new" w:history="1">
              <w:r w:rsidR="001674C9">
                <w:rPr>
                  <w:rStyle w:val="Hypertextovodkaz"/>
                  <w:rFonts w:ascii="inherit" w:hAnsi="inherit" w:cs="Arial"/>
                  <w:b/>
                  <w:bCs/>
                  <w:color w:val="1C3E7E"/>
                  <w:sz w:val="21"/>
                  <w:szCs w:val="21"/>
                  <w:u w:val="none"/>
                  <w:bdr w:val="none" w:sz="0" w:space="0" w:color="auto" w:frame="1"/>
                </w:rPr>
                <w:t>Přihláška SŠ 2018/2019 nástavba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Podnikání a Provozní technika</w:t>
            </w:r>
          </w:p>
        </w:tc>
      </w:tr>
    </w:tbl>
    <w:p w:rsidR="001674C9" w:rsidRDefault="001674C9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04040"/>
          <w:sz w:val="30"/>
          <w:szCs w:val="30"/>
        </w:rPr>
      </w:pPr>
      <w:r>
        <w:rPr>
          <w:rFonts w:ascii="Arial" w:hAnsi="Arial" w:cs="Arial"/>
          <w:color w:val="404040"/>
          <w:sz w:val="30"/>
          <w:szCs w:val="30"/>
        </w:rPr>
        <w:t>C) Termíny</w:t>
      </w:r>
    </w:p>
    <w:tbl>
      <w:tblPr>
        <w:tblW w:w="12000" w:type="dxa"/>
        <w:tblCellSpacing w:w="15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1674C9" w:rsidTr="001A0E8F">
        <w:trPr>
          <w:tblCellSpacing w:w="15" w:type="dxa"/>
        </w:trPr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Podání přihlášky:</w:t>
            </w:r>
          </w:p>
        </w:tc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Pr="00634E71" w:rsidRDefault="00434BE0" w:rsidP="00434BE0">
            <w:pPr>
              <w:rPr>
                <w:rFonts w:ascii="inherit" w:hAnsi="inherit" w:cs="Arial"/>
                <w:b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do 2</w:t>
            </w:r>
            <w:r w:rsidR="001674C9" w:rsidRPr="00634E71"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8. 5. 201</w:t>
            </w:r>
            <w:r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9</w:t>
            </w:r>
          </w:p>
        </w:tc>
      </w:tr>
      <w:tr w:rsidR="001674C9" w:rsidTr="001A0E8F">
        <w:trPr>
          <w:tblCellSpacing w:w="15" w:type="dxa"/>
        </w:trPr>
        <w:tc>
          <w:tcPr>
            <w:tcW w:w="5955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Termín rozhodnutí</w:t>
            </w:r>
          </w:p>
        </w:tc>
        <w:tc>
          <w:tcPr>
            <w:tcW w:w="5955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Pr="00634E71" w:rsidRDefault="00434BE0" w:rsidP="00434BE0">
            <w:pPr>
              <w:rPr>
                <w:rFonts w:ascii="inherit" w:hAnsi="inherit" w:cs="Arial"/>
                <w:b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31</w:t>
            </w:r>
            <w:r w:rsidR="001674C9" w:rsidRPr="00634E71"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. </w:t>
            </w:r>
            <w:r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5</w:t>
            </w:r>
            <w:r w:rsidR="001674C9" w:rsidRPr="00634E71"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. 201</w:t>
            </w:r>
            <w:r>
              <w:rPr>
                <w:rFonts w:ascii="inherit" w:hAnsi="inherit" w:cs="Arial"/>
                <w:b/>
                <w:color w:val="404040"/>
                <w:sz w:val="21"/>
                <w:szCs w:val="21"/>
              </w:rPr>
              <w:t>9</w:t>
            </w:r>
          </w:p>
        </w:tc>
      </w:tr>
    </w:tbl>
    <w:p w:rsidR="001A0E8F" w:rsidRDefault="001A0E8F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04040"/>
          <w:sz w:val="30"/>
          <w:szCs w:val="30"/>
        </w:rPr>
      </w:pPr>
    </w:p>
    <w:p w:rsidR="001A0E8F" w:rsidRDefault="001A0E8F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04040"/>
          <w:sz w:val="30"/>
          <w:szCs w:val="30"/>
        </w:rPr>
      </w:pPr>
      <w:bookmarkStart w:id="0" w:name="_GoBack"/>
      <w:bookmarkEnd w:id="0"/>
    </w:p>
    <w:p w:rsidR="001674C9" w:rsidRDefault="001674C9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04040"/>
          <w:sz w:val="30"/>
          <w:szCs w:val="30"/>
        </w:rPr>
      </w:pPr>
      <w:r>
        <w:rPr>
          <w:rFonts w:ascii="Arial" w:hAnsi="Arial" w:cs="Arial"/>
          <w:color w:val="404040"/>
          <w:sz w:val="30"/>
          <w:szCs w:val="30"/>
        </w:rPr>
        <w:lastRenderedPageBreak/>
        <w:t>D) Kritéria pro přijímací řízení – STUDIJNÍ OBORY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Prospěch v předchozí škole: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Průměrný prospěch z 1. a 2. pololetí předposledního ročníku a 1. pololetí posledního ročníku ZŠ, ve kterých uchazeč splnil nebo plní povinnou školní docházku, žádný předmět nesmí být hodnocen stupněm nedostatečný.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Zohlední se prospěch ze všech předmětů za poslední tři pololetí ZŠ, ve kterém bude zvýšena váha na 200 % u předmětů matematika, český jazyk a literatura, cizí jazyk, fyzika.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Maximální počet bodů je možné získat za součet průměrných prospěchů 3,0 a dále za každé 0,4 se odpočítává 1 bod.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Vysvětlení: Prospěch za jedno pololetí se spočítá dle tohoto vzorce: (průměr známek * počet známek + matematika + český jazyk + cizí jazyk + fyzika) / (počet známek + 4).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Do průměru známek se nezapočítávají známky z nepovinných předmětů a z chování.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maximálně 25 bodů</w:t>
      </w:r>
    </w:p>
    <w:p w:rsidR="001674C9" w:rsidRDefault="001674C9" w:rsidP="001674C9">
      <w:pPr>
        <w:numPr>
          <w:ilvl w:val="0"/>
          <w:numId w:val="29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Podmínkou přijetí je známka z chování – </w:t>
      </w: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velmi dobré</w:t>
      </w:r>
      <w:r>
        <w:rPr>
          <w:rFonts w:ascii="inherit" w:hAnsi="inherit" w:cs="Arial"/>
          <w:color w:val="404040"/>
          <w:sz w:val="21"/>
          <w:szCs w:val="21"/>
        </w:rPr>
        <w:t>.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Prémiové body:</w:t>
      </w:r>
    </w:p>
    <w:p w:rsidR="001674C9" w:rsidRDefault="001674C9" w:rsidP="001674C9">
      <w:pPr>
        <w:numPr>
          <w:ilvl w:val="0"/>
          <w:numId w:val="30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úspěšná účast na různých odborných soutěžích a olympiádách</w:t>
      </w:r>
    </w:p>
    <w:p w:rsidR="001674C9" w:rsidRDefault="001674C9" w:rsidP="001674C9">
      <w:pPr>
        <w:numPr>
          <w:ilvl w:val="0"/>
          <w:numId w:val="30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maximálně 5 bodů</w:t>
      </w:r>
    </w:p>
    <w:p w:rsidR="001674C9" w:rsidRDefault="001674C9" w:rsidP="001674C9">
      <w:pPr>
        <w:numPr>
          <w:ilvl w:val="0"/>
          <w:numId w:val="30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doložená jiná aktivita korespondující s voleným oborem</w:t>
      </w:r>
    </w:p>
    <w:p w:rsidR="001674C9" w:rsidRDefault="001674C9" w:rsidP="001674C9">
      <w:pPr>
        <w:numPr>
          <w:ilvl w:val="0"/>
          <w:numId w:val="30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maximálně 10 bodů</w:t>
      </w:r>
    </w:p>
    <w:p w:rsidR="001674C9" w:rsidRPr="00E112FE" w:rsidRDefault="001674C9" w:rsidP="001674C9">
      <w:pPr>
        <w:pStyle w:val="Normlnweb"/>
        <w:shd w:val="clear" w:color="auto" w:fill="FFFFFF"/>
        <w:spacing w:before="0" w:beforeAutospacing="0" w:after="450" w:afterAutospacing="0"/>
        <w:textAlignment w:val="baseline"/>
        <w:rPr>
          <w:rFonts w:ascii="inherit" w:eastAsiaTheme="minorHAnsi" w:hAnsi="inherit" w:cs="Arial"/>
          <w:color w:val="404040"/>
          <w:sz w:val="21"/>
          <w:szCs w:val="21"/>
        </w:rPr>
      </w:pPr>
      <w:r w:rsidRPr="00E112FE">
        <w:rPr>
          <w:rFonts w:ascii="inherit" w:eastAsiaTheme="minorHAnsi" w:hAnsi="inherit" w:cs="Arial"/>
          <w:color w:val="404040"/>
          <w:sz w:val="21"/>
          <w:szCs w:val="21"/>
        </w:rPr>
        <w:t>Je na posouzení komise, kolik z maximálního počtu bodů přidělí.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Pohovor:</w:t>
      </w:r>
    </w:p>
    <w:p w:rsidR="001674C9" w:rsidRDefault="001674C9" w:rsidP="001674C9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Žák, který má nedostatečný prospěch, může být pozván na obhajovací pohovor, kde bude muset projevit zájem o obor studia.</w:t>
      </w:r>
    </w:p>
    <w:p w:rsidR="001674C9" w:rsidRDefault="001674C9" w:rsidP="001674C9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Cizinci budou na obhajovacím pohovoru skládat zkoušku z českého jazyka.</w:t>
      </w:r>
    </w:p>
    <w:p w:rsidR="00634E71" w:rsidRDefault="00634E71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u w:val="single"/>
          <w:bdr w:val="none" w:sz="0" w:space="0" w:color="auto" w:frame="1"/>
        </w:rPr>
        <w:t>Studijní obory a předpokládané počty přijímaných studentů</w:t>
      </w:r>
    </w:p>
    <w:tbl>
      <w:tblPr>
        <w:tblW w:w="12000" w:type="dxa"/>
        <w:tblCellSpacing w:w="15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1674C9" w:rsidTr="002F1CD0">
        <w:trPr>
          <w:tblCellSpacing w:w="15" w:type="dxa"/>
        </w:trPr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Informační technologie – studijní obor 18-20-M/01</w:t>
            </w:r>
          </w:p>
        </w:tc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 do naplnění stavu</w:t>
            </w:r>
          </w:p>
        </w:tc>
      </w:tr>
      <w:tr w:rsidR="001674C9" w:rsidTr="002F1CD0">
        <w:trPr>
          <w:tblCellSpacing w:w="15" w:type="dxa"/>
        </w:trPr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Multimediální komunikace – studijní obor 18-20-M/01</w:t>
            </w:r>
          </w:p>
        </w:tc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do naplnění stavu</w:t>
            </w:r>
          </w:p>
        </w:tc>
      </w:tr>
      <w:tr w:rsidR="001674C9" w:rsidTr="002F1CD0">
        <w:trPr>
          <w:tblCellSpacing w:w="15" w:type="dxa"/>
        </w:trPr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404040"/>
                <w:sz w:val="21"/>
                <w:szCs w:val="21"/>
              </w:rPr>
              <w:t>Autotronik</w:t>
            </w:r>
            <w:proofErr w:type="spellEnd"/>
            <w:r>
              <w:rPr>
                <w:rFonts w:ascii="inherit" w:hAnsi="inherit" w:cs="Arial"/>
                <w:color w:val="404040"/>
                <w:sz w:val="21"/>
                <w:szCs w:val="21"/>
              </w:rPr>
              <w:t xml:space="preserve"> – obor 39-41-L/01</w:t>
            </w:r>
          </w:p>
        </w:tc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 do naplnění stavu</w:t>
            </w:r>
          </w:p>
        </w:tc>
      </w:tr>
      <w:tr w:rsidR="001674C9" w:rsidTr="002F1CD0">
        <w:trPr>
          <w:tblCellSpacing w:w="15" w:type="dxa"/>
        </w:trPr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Podnikání – nástavbové studium – denní forma 64-41-L/51</w:t>
            </w:r>
          </w:p>
        </w:tc>
        <w:tc>
          <w:tcPr>
            <w:tcW w:w="5955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do naplnění stavu</w:t>
            </w:r>
          </w:p>
        </w:tc>
      </w:tr>
    </w:tbl>
    <w:p w:rsidR="001674C9" w:rsidRDefault="001674C9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04040"/>
          <w:sz w:val="30"/>
          <w:szCs w:val="30"/>
        </w:rPr>
      </w:pPr>
      <w:r>
        <w:rPr>
          <w:rFonts w:ascii="Arial" w:hAnsi="Arial" w:cs="Arial"/>
          <w:color w:val="404040"/>
          <w:sz w:val="30"/>
          <w:szCs w:val="30"/>
        </w:rPr>
        <w:t>E) Kritéria pro přijímací řízení – UČEBNÍ OBORY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Prospěch v předchozí škole:</w:t>
      </w:r>
    </w:p>
    <w:p w:rsidR="001674C9" w:rsidRDefault="001674C9" w:rsidP="001674C9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Počítá se ze všech předmětů za poslední jedno pololetí ZŠ, ve kterém bude zvýšena váha na 200 % u předmětů matematika, český jazyk a literatura, cizí jazyk, fyzika. Maximální počet bodů je možné získat za průměr prospěchu 1,0 a dále za každou 0,1 se odpočítává 1 bod.</w:t>
      </w:r>
    </w:p>
    <w:p w:rsidR="001674C9" w:rsidRDefault="001674C9" w:rsidP="001674C9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lastRenderedPageBreak/>
        <w:t>Vysvětlení: Prospěch za jedno pololetí se spočítá dle tohoto vzorce: (průměr známek * počet známek + matematika + český jazyk + cizí jazyk + fyzika) / (počet známek + 4).</w:t>
      </w:r>
    </w:p>
    <w:p w:rsidR="001674C9" w:rsidRDefault="001674C9" w:rsidP="001674C9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Do průměru známek se nezapočítávají známky z nepovinných předmětů a z chování.</w:t>
      </w:r>
    </w:p>
    <w:p w:rsidR="001674C9" w:rsidRDefault="001674C9" w:rsidP="001674C9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maximálně 85 bodů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Prémiové body:</w:t>
      </w:r>
    </w:p>
    <w:p w:rsidR="001674C9" w:rsidRDefault="001674C9" w:rsidP="001674C9">
      <w:pPr>
        <w:numPr>
          <w:ilvl w:val="0"/>
          <w:numId w:val="33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úspěšná účast na různých odborných soutěžích a olympiádách</w:t>
      </w:r>
    </w:p>
    <w:p w:rsidR="001674C9" w:rsidRDefault="001674C9" w:rsidP="001674C9">
      <w:pPr>
        <w:numPr>
          <w:ilvl w:val="0"/>
          <w:numId w:val="33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maximálně 5 bodů</w:t>
      </w:r>
    </w:p>
    <w:p w:rsidR="001674C9" w:rsidRDefault="001674C9" w:rsidP="001674C9">
      <w:pPr>
        <w:numPr>
          <w:ilvl w:val="0"/>
          <w:numId w:val="33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doložená jiná aktivita korespondující s voleným oborem</w:t>
      </w:r>
    </w:p>
    <w:p w:rsidR="001674C9" w:rsidRDefault="001674C9" w:rsidP="001674C9">
      <w:pPr>
        <w:numPr>
          <w:ilvl w:val="0"/>
          <w:numId w:val="33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maximálně 10 bodů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Je na posouzení komise, kolik z maximálního počtu bodů přidělí.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Pohovor:</w:t>
      </w:r>
    </w:p>
    <w:p w:rsidR="001674C9" w:rsidRDefault="001674C9" w:rsidP="001674C9">
      <w:pPr>
        <w:numPr>
          <w:ilvl w:val="0"/>
          <w:numId w:val="34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Žák, který má nedostatečný prospěch, může být pozván na obhajovací pohovor, kde bude muset projevit zájem o obor studia.</w:t>
      </w:r>
    </w:p>
    <w:p w:rsidR="001674C9" w:rsidRDefault="001674C9" w:rsidP="001674C9">
      <w:pPr>
        <w:numPr>
          <w:ilvl w:val="0"/>
          <w:numId w:val="34"/>
        </w:numPr>
        <w:shd w:val="clear" w:color="auto" w:fill="FFFFFF"/>
        <w:spacing w:after="0" w:line="240" w:lineRule="auto"/>
        <w:ind w:left="540"/>
        <w:textAlignment w:val="baseline"/>
        <w:rPr>
          <w:rFonts w:ascii="inherit" w:hAnsi="inherit" w:cs="Arial"/>
          <w:color w:val="404040"/>
          <w:sz w:val="21"/>
          <w:szCs w:val="21"/>
        </w:rPr>
      </w:pPr>
      <w:r>
        <w:rPr>
          <w:rFonts w:ascii="inherit" w:hAnsi="inherit" w:cs="Arial"/>
          <w:color w:val="404040"/>
          <w:sz w:val="21"/>
          <w:szCs w:val="21"/>
        </w:rPr>
        <w:t>Cizinci budou na obhajovacím pohovoru skládat zkoušku z českého jazyka.</w:t>
      </w: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  <w:t>O přijetí rozhodne pořadí sestavené na základě součtu dosažených bodů.</w:t>
      </w:r>
    </w:p>
    <w:p w:rsidR="00634E71" w:rsidRDefault="00634E71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1674C9" w:rsidRDefault="001674C9" w:rsidP="001674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Style w:val="Siln"/>
          <w:rFonts w:ascii="inherit" w:hAnsi="inherit" w:cs="Arial"/>
          <w:color w:val="404040"/>
          <w:sz w:val="21"/>
          <w:szCs w:val="21"/>
          <w:u w:val="single"/>
          <w:bdr w:val="none" w:sz="0" w:space="0" w:color="auto" w:frame="1"/>
        </w:rPr>
        <w:t>Učební obory a předpokládané počty přijímaných studentů</w:t>
      </w:r>
    </w:p>
    <w:tbl>
      <w:tblPr>
        <w:tblW w:w="12000" w:type="dxa"/>
        <w:tblCellSpacing w:w="15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1674C9" w:rsidTr="001674C9">
        <w:trPr>
          <w:tblCellSpacing w:w="15" w:type="dxa"/>
        </w:trPr>
        <w:tc>
          <w:tcPr>
            <w:tcW w:w="453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Mechanik opravář motorových vozidel – obor 23-68-H/01</w:t>
            </w:r>
          </w:p>
        </w:tc>
        <w:tc>
          <w:tcPr>
            <w:tcW w:w="453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do naplnění stavu</w:t>
            </w:r>
          </w:p>
        </w:tc>
      </w:tr>
      <w:tr w:rsidR="001674C9" w:rsidTr="001674C9">
        <w:trPr>
          <w:tblCellSpacing w:w="15" w:type="dxa"/>
        </w:trPr>
        <w:tc>
          <w:tcPr>
            <w:tcW w:w="453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Autolakýrník – obor 23-61-H/01</w:t>
            </w:r>
          </w:p>
        </w:tc>
        <w:tc>
          <w:tcPr>
            <w:tcW w:w="453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do naplnění stavu</w:t>
            </w:r>
          </w:p>
        </w:tc>
      </w:tr>
      <w:tr w:rsidR="001674C9" w:rsidTr="00BF7D1D">
        <w:trPr>
          <w:tblCellSpacing w:w="15" w:type="dxa"/>
        </w:trPr>
        <w:tc>
          <w:tcPr>
            <w:tcW w:w="4530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Karosář – obor 23-55-H/02</w:t>
            </w:r>
          </w:p>
        </w:tc>
        <w:tc>
          <w:tcPr>
            <w:tcW w:w="4530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1674C9" w:rsidRDefault="001674C9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do naplnění stavu</w:t>
            </w:r>
          </w:p>
        </w:tc>
      </w:tr>
      <w:tr w:rsidR="00BF7D1D" w:rsidTr="001674C9">
        <w:trPr>
          <w:tblCellSpacing w:w="15" w:type="dxa"/>
        </w:trPr>
        <w:tc>
          <w:tcPr>
            <w:tcW w:w="453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</w:tcPr>
          <w:p w:rsidR="00BF7D1D" w:rsidRDefault="00BF7D1D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Autoelektrikář – obor 26-57-H/01</w:t>
            </w:r>
          </w:p>
        </w:tc>
        <w:tc>
          <w:tcPr>
            <w:tcW w:w="453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20" w:type="dxa"/>
              <w:right w:w="150" w:type="dxa"/>
            </w:tcMar>
            <w:vAlign w:val="bottom"/>
          </w:tcPr>
          <w:p w:rsidR="00BF7D1D" w:rsidRDefault="00BF7D1D">
            <w:pPr>
              <w:rPr>
                <w:rFonts w:ascii="inherit" w:hAnsi="inherit" w:cs="Arial"/>
                <w:color w:val="404040"/>
                <w:sz w:val="21"/>
                <w:szCs w:val="21"/>
              </w:rPr>
            </w:pPr>
            <w:r>
              <w:rPr>
                <w:rFonts w:ascii="inherit" w:hAnsi="inherit" w:cs="Arial"/>
                <w:color w:val="404040"/>
                <w:sz w:val="21"/>
                <w:szCs w:val="21"/>
              </w:rPr>
              <w:t>do naplnění stavu</w:t>
            </w:r>
          </w:p>
        </w:tc>
      </w:tr>
    </w:tbl>
    <w:p w:rsidR="009C36A7" w:rsidRDefault="009C36A7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</w:p>
    <w:p w:rsidR="003E7023" w:rsidRDefault="00513D29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Praze dne 10. 5. 2019</w:t>
      </w:r>
    </w:p>
    <w:p w:rsidR="003E7023" w:rsidRDefault="003E7023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</w:p>
    <w:p w:rsidR="003E7023" w:rsidRDefault="003E7023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</w:p>
    <w:p w:rsidR="003E7023" w:rsidRDefault="003E7023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</w:p>
    <w:p w:rsidR="003E7023" w:rsidRDefault="003E7023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</w:p>
    <w:p w:rsidR="003E7023" w:rsidRPr="003B433F" w:rsidRDefault="003E7023" w:rsidP="001674C9">
      <w:pPr>
        <w:pStyle w:val="Nadpis3"/>
        <w:pBdr>
          <w:bottom w:val="dotted" w:sz="8" w:space="0" w:color="auto"/>
        </w:pBdr>
        <w:shd w:val="clear" w:color="auto" w:fill="FFFFFF"/>
        <w:spacing w:before="0" w:beforeAutospacing="0" w:after="150" w:afterAutospacing="0"/>
        <w:textAlignment w:val="baseline"/>
        <w:rPr>
          <w:rFonts w:ascii="Franklin Gothic Book" w:hAnsi="Franklin Gothic Book"/>
        </w:rPr>
      </w:pPr>
    </w:p>
    <w:sectPr w:rsidR="003E7023" w:rsidRPr="003B433F" w:rsidSect="00BF7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FC"/>
    <w:multiLevelType w:val="multilevel"/>
    <w:tmpl w:val="715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E0B9B"/>
    <w:multiLevelType w:val="multilevel"/>
    <w:tmpl w:val="EFAE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634BD"/>
    <w:multiLevelType w:val="multilevel"/>
    <w:tmpl w:val="C8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63463"/>
    <w:multiLevelType w:val="multilevel"/>
    <w:tmpl w:val="E57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34FA5"/>
    <w:multiLevelType w:val="multilevel"/>
    <w:tmpl w:val="7E9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63004"/>
    <w:multiLevelType w:val="multilevel"/>
    <w:tmpl w:val="7F8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C02FD"/>
    <w:multiLevelType w:val="multilevel"/>
    <w:tmpl w:val="850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AE0507"/>
    <w:multiLevelType w:val="multilevel"/>
    <w:tmpl w:val="021C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B01A5"/>
    <w:multiLevelType w:val="multilevel"/>
    <w:tmpl w:val="B10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E950BD"/>
    <w:multiLevelType w:val="multilevel"/>
    <w:tmpl w:val="3370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87223"/>
    <w:multiLevelType w:val="multilevel"/>
    <w:tmpl w:val="E41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21E1C"/>
    <w:multiLevelType w:val="multilevel"/>
    <w:tmpl w:val="C052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56D9B"/>
    <w:multiLevelType w:val="multilevel"/>
    <w:tmpl w:val="39C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E30A87"/>
    <w:multiLevelType w:val="multilevel"/>
    <w:tmpl w:val="3E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2D3F12"/>
    <w:multiLevelType w:val="multilevel"/>
    <w:tmpl w:val="CC74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F792F"/>
    <w:multiLevelType w:val="multilevel"/>
    <w:tmpl w:val="C77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CB32EB"/>
    <w:multiLevelType w:val="multilevel"/>
    <w:tmpl w:val="4B9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77F7C"/>
    <w:multiLevelType w:val="multilevel"/>
    <w:tmpl w:val="08E0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14E3E"/>
    <w:multiLevelType w:val="multilevel"/>
    <w:tmpl w:val="DBF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204E8E"/>
    <w:multiLevelType w:val="multilevel"/>
    <w:tmpl w:val="B6D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8721A"/>
    <w:multiLevelType w:val="multilevel"/>
    <w:tmpl w:val="517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B1A12"/>
    <w:multiLevelType w:val="multilevel"/>
    <w:tmpl w:val="9EB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73542"/>
    <w:multiLevelType w:val="multilevel"/>
    <w:tmpl w:val="DA62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5313DA"/>
    <w:multiLevelType w:val="multilevel"/>
    <w:tmpl w:val="86A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902F4"/>
    <w:multiLevelType w:val="multilevel"/>
    <w:tmpl w:val="D96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1A5851"/>
    <w:multiLevelType w:val="multilevel"/>
    <w:tmpl w:val="BB2E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33C44"/>
    <w:multiLevelType w:val="multilevel"/>
    <w:tmpl w:val="63BA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D4E77"/>
    <w:multiLevelType w:val="multilevel"/>
    <w:tmpl w:val="FAF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C44BBF"/>
    <w:multiLevelType w:val="multilevel"/>
    <w:tmpl w:val="2BE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2D4ECD"/>
    <w:multiLevelType w:val="multilevel"/>
    <w:tmpl w:val="A046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82407"/>
    <w:multiLevelType w:val="multilevel"/>
    <w:tmpl w:val="D1E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7C69CF"/>
    <w:multiLevelType w:val="multilevel"/>
    <w:tmpl w:val="E24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B869D5"/>
    <w:multiLevelType w:val="multilevel"/>
    <w:tmpl w:val="AFC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976C2"/>
    <w:multiLevelType w:val="multilevel"/>
    <w:tmpl w:val="76F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8160AC"/>
    <w:multiLevelType w:val="multilevel"/>
    <w:tmpl w:val="D376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34"/>
  </w:num>
  <w:num w:numId="5">
    <w:abstractNumId w:val="11"/>
  </w:num>
  <w:num w:numId="6">
    <w:abstractNumId w:val="26"/>
  </w:num>
  <w:num w:numId="7">
    <w:abstractNumId w:val="25"/>
  </w:num>
  <w:num w:numId="8">
    <w:abstractNumId w:val="19"/>
  </w:num>
  <w:num w:numId="9">
    <w:abstractNumId w:val="9"/>
  </w:num>
  <w:num w:numId="10">
    <w:abstractNumId w:val="16"/>
  </w:num>
  <w:num w:numId="11">
    <w:abstractNumId w:val="23"/>
  </w:num>
  <w:num w:numId="12">
    <w:abstractNumId w:val="30"/>
  </w:num>
  <w:num w:numId="13">
    <w:abstractNumId w:val="4"/>
  </w:num>
  <w:num w:numId="14">
    <w:abstractNumId w:val="29"/>
  </w:num>
  <w:num w:numId="15">
    <w:abstractNumId w:val="10"/>
  </w:num>
  <w:num w:numId="16">
    <w:abstractNumId w:val="14"/>
  </w:num>
  <w:num w:numId="17">
    <w:abstractNumId w:val="22"/>
  </w:num>
  <w:num w:numId="18">
    <w:abstractNumId w:val="1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7"/>
  </w:num>
  <w:num w:numId="24">
    <w:abstractNumId w:val="8"/>
  </w:num>
  <w:num w:numId="25">
    <w:abstractNumId w:val="0"/>
  </w:num>
  <w:num w:numId="26">
    <w:abstractNumId w:val="13"/>
  </w:num>
  <w:num w:numId="27">
    <w:abstractNumId w:val="24"/>
  </w:num>
  <w:num w:numId="28">
    <w:abstractNumId w:val="5"/>
  </w:num>
  <w:num w:numId="29">
    <w:abstractNumId w:val="2"/>
  </w:num>
  <w:num w:numId="30">
    <w:abstractNumId w:val="27"/>
  </w:num>
  <w:num w:numId="31">
    <w:abstractNumId w:val="31"/>
  </w:num>
  <w:num w:numId="32">
    <w:abstractNumId w:val="33"/>
  </w:num>
  <w:num w:numId="33">
    <w:abstractNumId w:val="15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9B"/>
    <w:rsid w:val="000C1D9C"/>
    <w:rsid w:val="001674C9"/>
    <w:rsid w:val="001A0E8F"/>
    <w:rsid w:val="002025E4"/>
    <w:rsid w:val="002F1CD0"/>
    <w:rsid w:val="00333AA8"/>
    <w:rsid w:val="003B433F"/>
    <w:rsid w:val="003E7023"/>
    <w:rsid w:val="00434BE0"/>
    <w:rsid w:val="00513D29"/>
    <w:rsid w:val="00634E71"/>
    <w:rsid w:val="006E739B"/>
    <w:rsid w:val="007A795E"/>
    <w:rsid w:val="008176E2"/>
    <w:rsid w:val="009C36A7"/>
    <w:rsid w:val="009F1D5D"/>
    <w:rsid w:val="00BF7D1D"/>
    <w:rsid w:val="00CF78DD"/>
    <w:rsid w:val="00E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9106"/>
  <w15:docId w15:val="{324ED6FF-39FC-4E0D-B487-0404AE9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3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7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176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76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8176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1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176E2"/>
  </w:style>
  <w:style w:type="character" w:styleId="Hypertextovodkaz">
    <w:name w:val="Hyperlink"/>
    <w:basedOn w:val="Standardnpsmoodstavce"/>
    <w:uiPriority w:val="99"/>
    <w:semiHidden/>
    <w:unhideWhenUsed/>
    <w:rsid w:val="008176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76E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3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B43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" w:color="133984"/>
            <w:right w:val="none" w:sz="0" w:space="0" w:color="auto"/>
          </w:divBdr>
        </w:div>
      </w:divsChild>
    </w:div>
    <w:div w:id="16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hostivar.cz/assets/download/Prihlaska_SS_2016_nastavb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hostivar.cz/assets/download/p%C5%99ihl%C3%A1%C5%A1ka%20ke%20studiu%20denn%C3%AD_2018.xls" TargetMode="External"/><Relationship Id="rId5" Type="http://schemas.openxmlformats.org/officeDocument/2006/relationships/hyperlink" Target="http://www.skolahostivar.cz/assets/download/P%C5%99ij%C3%ADm%C3%A1n%C3%AD%20zahrani%C4%8Dn%C3%ADch%20uchaze%C4%8D%C5%AF%20ke%20studiu%20na%20S%C5%A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82C44D76.dotm</Template>
  <TotalTime>24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Trčková</dc:creator>
  <cp:lastModifiedBy>Jana Božková</cp:lastModifiedBy>
  <cp:revision>14</cp:revision>
  <dcterms:created xsi:type="dcterms:W3CDTF">2018-01-31T09:28:00Z</dcterms:created>
  <dcterms:modified xsi:type="dcterms:W3CDTF">2019-05-16T06:23:00Z</dcterms:modified>
</cp:coreProperties>
</file>